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2E" w:rsidRDefault="00F171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年单招考试</w:t>
      </w:r>
    </w:p>
    <w:p w:rsidR="004B192E" w:rsidRDefault="00F171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:rsidR="004B192E" w:rsidRDefault="00F171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——应用英语专业、</w:t>
      </w:r>
      <w:r>
        <w:rPr>
          <w:rFonts w:hint="eastAsia"/>
          <w:sz w:val="28"/>
          <w:szCs w:val="28"/>
        </w:rPr>
        <w:t>应用英语专业</w:t>
      </w:r>
      <w:r>
        <w:rPr>
          <w:rFonts w:hint="eastAsia"/>
          <w:sz w:val="28"/>
          <w:szCs w:val="28"/>
        </w:rPr>
        <w:t>（</w:t>
      </w:r>
      <w:r w:rsidRPr="00F17101">
        <w:rPr>
          <w:rFonts w:hint="eastAsia"/>
          <w:sz w:val="28"/>
          <w:szCs w:val="28"/>
        </w:rPr>
        <w:t>酒店英语方向</w:t>
      </w:r>
      <w:r>
        <w:rPr>
          <w:rFonts w:hint="eastAsia"/>
          <w:sz w:val="28"/>
          <w:szCs w:val="28"/>
        </w:rPr>
        <w:t>）</w:t>
      </w:r>
    </w:p>
    <w:p w:rsidR="004B192E" w:rsidRDefault="00F1710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测试名称</w:t>
      </w:r>
    </w:p>
    <w:p w:rsidR="004B192E" w:rsidRDefault="00F171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英语语言运用能力测试</w:t>
      </w:r>
    </w:p>
    <w:p w:rsidR="004B192E" w:rsidRDefault="004B192E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</w:p>
    <w:p w:rsidR="004B192E" w:rsidRDefault="00F1710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测试要求</w:t>
      </w:r>
    </w:p>
    <w:p w:rsidR="004B192E" w:rsidRDefault="00F171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要求考生在掌握语言基础知识的同时，具备一定的综合运用语言的能力。能阅读和有效运用有关社会、经济、文化、科技、生活等方面的资料，以满足学生未来职业生涯发展的需要。</w:t>
      </w:r>
    </w:p>
    <w:p w:rsidR="004B192E" w:rsidRDefault="004B192E">
      <w:pPr>
        <w:spacing w:line="360" w:lineRule="auto"/>
        <w:ind w:firstLineChars="200" w:firstLine="480"/>
        <w:rPr>
          <w:sz w:val="24"/>
        </w:rPr>
      </w:pPr>
    </w:p>
    <w:p w:rsidR="004B192E" w:rsidRDefault="00F1710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测试内容</w:t>
      </w:r>
    </w:p>
    <w:p w:rsidR="004B192E" w:rsidRDefault="00F171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:rsidR="004B192E" w:rsidRDefault="00F17101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84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6506"/>
      </w:tblGrid>
      <w:tr w:rsidR="004B192E">
        <w:trPr>
          <w:jc w:val="center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4B192E">
        <w:trPr>
          <w:jc w:val="center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用英语进行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自我介绍，语言组织流畅有序，口齿清晰。</w:t>
            </w:r>
          </w:p>
        </w:tc>
      </w:tr>
      <w:tr w:rsidR="004B192E">
        <w:trPr>
          <w:jc w:val="center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2E" w:rsidRDefault="00F171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考生用英语对中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职学习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期间的专业学习内容及个人学习情况进行介绍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4B192E" w:rsidRDefault="00F17101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技能测试内容</w:t>
      </w:r>
    </w:p>
    <w:tbl>
      <w:tblPr>
        <w:tblStyle w:val="a4"/>
        <w:tblpPr w:leftFromText="180" w:rightFromText="180" w:vertAnchor="text" w:horzAnchor="page" w:tblpX="1787" w:tblpY="118"/>
        <w:tblOverlap w:val="never"/>
        <w:tblW w:w="8534" w:type="dxa"/>
        <w:tblLook w:val="04A0" w:firstRow="1" w:lastRow="0" w:firstColumn="1" w:lastColumn="0" w:noHBand="0" w:noVBand="1"/>
      </w:tblPr>
      <w:tblGrid>
        <w:gridCol w:w="2228"/>
        <w:gridCol w:w="2300"/>
        <w:gridCol w:w="4006"/>
      </w:tblGrid>
      <w:tr w:rsidR="004B192E">
        <w:trPr>
          <w:trHeight w:val="511"/>
        </w:trPr>
        <w:tc>
          <w:tcPr>
            <w:tcW w:w="2228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300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4006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考核内容</w:t>
            </w:r>
          </w:p>
        </w:tc>
      </w:tr>
      <w:tr w:rsidR="004B192E">
        <w:trPr>
          <w:trHeight w:val="511"/>
        </w:trPr>
        <w:tc>
          <w:tcPr>
            <w:tcW w:w="2228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专业认知</w:t>
            </w:r>
          </w:p>
        </w:tc>
        <w:tc>
          <w:tcPr>
            <w:tcW w:w="2300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英文陈述</w:t>
            </w:r>
          </w:p>
        </w:tc>
        <w:tc>
          <w:tcPr>
            <w:tcW w:w="4006" w:type="dxa"/>
          </w:tcPr>
          <w:p w:rsidR="004B192E" w:rsidRDefault="00F17101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专业认知、对大学期间的学业规划和职业规划</w:t>
            </w:r>
          </w:p>
        </w:tc>
      </w:tr>
      <w:tr w:rsidR="004B192E">
        <w:trPr>
          <w:trHeight w:val="511"/>
        </w:trPr>
        <w:tc>
          <w:tcPr>
            <w:tcW w:w="2228" w:type="dxa"/>
            <w:vMerge w:val="restart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专业测试</w:t>
            </w:r>
          </w:p>
        </w:tc>
        <w:tc>
          <w:tcPr>
            <w:tcW w:w="2300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短文抽读</w:t>
            </w:r>
            <w:proofErr w:type="gramEnd"/>
          </w:p>
        </w:tc>
        <w:tc>
          <w:tcPr>
            <w:tcW w:w="4006" w:type="dxa"/>
          </w:tcPr>
          <w:p w:rsidR="004B192E" w:rsidRDefault="00F17101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）英语发音、节奏等</w:t>
            </w:r>
          </w:p>
          <w:p w:rsidR="004B192E" w:rsidRDefault="00F17101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）基础词汇、短语的掌握程度</w:t>
            </w:r>
          </w:p>
        </w:tc>
      </w:tr>
      <w:tr w:rsidR="004B192E">
        <w:trPr>
          <w:trHeight w:val="521"/>
        </w:trPr>
        <w:tc>
          <w:tcPr>
            <w:tcW w:w="2228" w:type="dxa"/>
            <w:vMerge/>
            <w:vAlign w:val="center"/>
          </w:tcPr>
          <w:p w:rsidR="004B192E" w:rsidRDefault="004B192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4B192E" w:rsidRDefault="00F17101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看图编对话</w:t>
            </w:r>
          </w:p>
        </w:tc>
        <w:tc>
          <w:tcPr>
            <w:tcW w:w="4006" w:type="dxa"/>
          </w:tcPr>
          <w:p w:rsidR="004B192E" w:rsidRDefault="00F17101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职阶段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常用词汇、习惯用语及固定搭配的用法</w:t>
            </w:r>
          </w:p>
          <w:p w:rsidR="004B192E" w:rsidRDefault="00F17101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）英语表达能力和应变能力</w:t>
            </w:r>
          </w:p>
        </w:tc>
      </w:tr>
    </w:tbl>
    <w:p w:rsidR="004B192E" w:rsidRDefault="004B192E">
      <w:pPr>
        <w:spacing w:line="360" w:lineRule="auto"/>
        <w:ind w:leftChars="200" w:left="420"/>
        <w:rPr>
          <w:sz w:val="24"/>
        </w:rPr>
      </w:pPr>
    </w:p>
    <w:p w:rsidR="004B192E" w:rsidRDefault="00F1710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参考书目</w:t>
      </w:r>
    </w:p>
    <w:p w:rsidR="004B192E" w:rsidRDefault="00F17101">
      <w:pPr>
        <w:pStyle w:val="1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《</w:t>
      </w:r>
      <w:r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  <w:t>中职英语口语训练手册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》，</w:t>
      </w:r>
      <w:hyperlink r:id="rId6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赵冬梅</w:t>
        </w:r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hyperlink r:id="rId7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北京航空航天大学出版社</w:t>
        </w:r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2016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年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3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月版</w:t>
      </w:r>
    </w:p>
    <w:p w:rsidR="004B192E" w:rsidRDefault="00F17101">
      <w:pPr>
        <w:pStyle w:val="1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《</w:t>
      </w:r>
      <w:r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  <w:t>中职英语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》，</w:t>
      </w:r>
      <w:hyperlink r:id="rId8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钟丽琼</w:t>
        </w:r>
      </w:hyperlink>
      <w:r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  <w:t> </w:t>
      </w:r>
      <w:hyperlink r:id="rId9" w:tgtFrame="http://product.dangdang.com/_blank" w:history="1">
        <w:proofErr w:type="gramStart"/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李晶洁</w:t>
        </w:r>
        <w:proofErr w:type="gramEnd"/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hyperlink r:id="rId10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水利水电出版社</w:t>
        </w:r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2019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年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9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月版</w:t>
      </w:r>
    </w:p>
    <w:p w:rsidR="004B192E" w:rsidRDefault="00F17101">
      <w:pPr>
        <w:pStyle w:val="1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《</w:t>
      </w:r>
      <w:r>
        <w:rPr>
          <w:rFonts w:asciiTheme="minorHAnsi" w:eastAsiaTheme="minorEastAsia" w:hAnsiTheme="minorHAnsi" w:cstheme="minorBidi" w:hint="default"/>
          <w:b w:val="0"/>
          <w:kern w:val="2"/>
          <w:sz w:val="24"/>
          <w:szCs w:val="24"/>
        </w:rPr>
        <w:t>中职英语语法实用教程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》，</w:t>
      </w:r>
      <w:hyperlink r:id="rId11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邹俊</w:t>
        </w:r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hyperlink r:id="rId12" w:tgtFrame="http://product.dangdang.com/_blank" w:history="1">
        <w:r>
          <w:rPr>
            <w:rFonts w:asciiTheme="minorHAnsi" w:eastAsiaTheme="minorEastAsia" w:hAnsiTheme="minorHAnsi" w:cstheme="minorBidi" w:hint="default"/>
            <w:b w:val="0"/>
            <w:kern w:val="2"/>
            <w:sz w:val="24"/>
            <w:szCs w:val="24"/>
          </w:rPr>
          <w:t>中国轻工业出版社</w:t>
        </w:r>
      </w:hyperlink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，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2020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年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9</w:t>
      </w:r>
      <w:r>
        <w:rPr>
          <w:rFonts w:asciiTheme="minorHAnsi" w:eastAsiaTheme="minorEastAsia" w:hAnsiTheme="minorHAnsi" w:cstheme="minorBidi"/>
          <w:b w:val="0"/>
          <w:kern w:val="2"/>
          <w:sz w:val="24"/>
          <w:szCs w:val="24"/>
        </w:rPr>
        <w:t>月版</w:t>
      </w:r>
    </w:p>
    <w:sectPr w:rsidR="004B1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7F68073"/>
    <w:multiLevelType w:val="singleLevel"/>
    <w:tmpl w:val="17F680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2E"/>
    <w:rsid w:val="004B192E"/>
    <w:rsid w:val="00F17101"/>
    <w:rsid w:val="02211A21"/>
    <w:rsid w:val="10DC3BCB"/>
    <w:rsid w:val="20DD4F29"/>
    <w:rsid w:val="239B0167"/>
    <w:rsid w:val="266A0C33"/>
    <w:rsid w:val="296C026A"/>
    <w:rsid w:val="2C395925"/>
    <w:rsid w:val="3ACF4122"/>
    <w:rsid w:val="47230CC1"/>
    <w:rsid w:val="4C4760A6"/>
    <w:rsid w:val="4C794F04"/>
    <w:rsid w:val="51044F41"/>
    <w:rsid w:val="59B12B76"/>
    <w:rsid w:val="5D5D14DC"/>
    <w:rsid w:val="624046F2"/>
    <w:rsid w:val="690258D1"/>
    <w:rsid w:val="69655F1D"/>
    <w:rsid w:val="6BA31AD1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8137"/>
  <w15:docId w15:val="{E43A8745-9D03-4861-A7E0-272375A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D3%C0%F6%C7%ED&amp;medium=01&amp;category_path=01.00.00.00.00.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dangdang.com/?key3=%B1%B1%BE%A9%BA%BD%BF%D5%BA%BD%CC%EC%B4%F3%D1%A7%B3%F6%B0%E6%C9%E7&amp;medium=01&amp;category_path=01.00.00.00.00.00" TargetMode="External"/><Relationship Id="rId12" Type="http://schemas.openxmlformats.org/officeDocument/2006/relationships/hyperlink" Target="http://search.dangdang.com/?key3=%D6%D0%B9%FA%C7%E1%B9%A4%D2%B5%B3%F6%B0%E6%C9%E7&amp;medium=01&amp;category_path=01.00.00.00.00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2=%D5%D4%B6%AC%C3%B7&amp;medium=01&amp;category_path=01.00.00.00.00.00" TargetMode="External"/><Relationship Id="rId11" Type="http://schemas.openxmlformats.org/officeDocument/2006/relationships/hyperlink" Target="http://search.dangdang.com/?key2=%D7%DE%BF%A1&amp;medium=01&amp;category_path=01.00.00.00.00.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dangdang.com/?key3=%CB%AE%C0%FB%CB%AE%B5%E7%B3%F6%B0%E6%C9%E7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0%EE%BE%A7%BD%E0&amp;medium=01&amp;category_path=01.00.00.00.00.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GJJY</cp:lastModifiedBy>
  <cp:revision>2</cp:revision>
  <cp:lastPrinted>2020-01-09T06:21:00Z</cp:lastPrinted>
  <dcterms:created xsi:type="dcterms:W3CDTF">2014-10-29T12:08:00Z</dcterms:created>
  <dcterms:modified xsi:type="dcterms:W3CDTF">2022-02-09T15:38:00Z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B74D698A022E46CA969B5DFF3387AB69</vt:lpwstr>
  </property>
</Properties>
</file>